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4 июля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597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25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 xml:space="preserve">ООО "АРТЕЛЬ" </w:t>
      </w:r>
      <w:r>
        <w:rPr>
          <w:rFonts w:ascii="Times New Roman" w:eastAsia="Times New Roman" w:hAnsi="Times New Roman" w:cs="Times New Roman"/>
          <w:b/>
          <w:bCs/>
        </w:rPr>
        <w:t>Савельева Дениса Олеговича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3rplc-8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Савельев Д.О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генеральным 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АРТЕЛЬ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Рознина</w:t>
      </w:r>
      <w:r>
        <w:rPr>
          <w:rFonts w:ascii="Times New Roman" w:eastAsia="Times New Roman" w:hAnsi="Times New Roman" w:cs="Times New Roman"/>
        </w:rPr>
        <w:t>, д.16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 xml:space="preserve">расчет по страховым взносам за </w:t>
      </w:r>
      <w:r>
        <w:rPr>
          <w:rFonts w:ascii="Times New Roman" w:eastAsia="Times New Roman" w:hAnsi="Times New Roman" w:cs="Times New Roman"/>
        </w:rPr>
        <w:t>6 месяцев</w:t>
      </w:r>
      <w:r>
        <w:rPr>
          <w:rFonts w:ascii="Times New Roman" w:eastAsia="Times New Roman" w:hAnsi="Times New Roman" w:cs="Times New Roman"/>
        </w:rPr>
        <w:t xml:space="preserve"> 2024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пп.1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Савельев Д.О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Савельева Д.О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Савельева Д.О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Савельева Д.О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17.03.2025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17.03.2025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квитанцией о приеме налоговой декларации;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извещение о вводе сведений;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подтверждением даты отправки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Савельева Д.О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 xml:space="preserve">расчета 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Савельева Д.О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генерального директора </w:t>
      </w:r>
      <w:r>
        <w:rPr>
          <w:rFonts w:ascii="Times New Roman" w:eastAsia="Times New Roman" w:hAnsi="Times New Roman" w:cs="Times New Roman"/>
        </w:rPr>
        <w:t xml:space="preserve">ООО "АРТЕЛЬ" </w:t>
      </w:r>
      <w:r>
        <w:rPr>
          <w:rFonts w:ascii="Times New Roman" w:eastAsia="Times New Roman" w:hAnsi="Times New Roman" w:cs="Times New Roman"/>
          <w:b/>
          <w:bCs/>
        </w:rPr>
        <w:t>Савельева Дениса Олеговича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суток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4rplc-33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8">
    <w:name w:val="cat-UserDefined grp-23 rplc-8"/>
    <w:basedOn w:val="DefaultParagraphFont"/>
  </w:style>
  <w:style w:type="character" w:customStyle="1" w:styleId="cat-UserDefinedgrp-24rplc-33">
    <w:name w:val="cat-UserDefined grp-24 rplc-3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